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0C157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0C157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 образования детей</w:t>
      </w:r>
      <w:r w:rsidR="0097381B" w:rsidRPr="004D4277">
        <w:rPr>
          <w:b/>
          <w:sz w:val="20"/>
          <w:szCs w:val="20"/>
        </w:rPr>
        <w:t xml:space="preserve"> </w:t>
      </w:r>
      <w:r w:rsidR="00B13DD9">
        <w:rPr>
          <w:b/>
          <w:sz w:val="20"/>
          <w:szCs w:val="20"/>
        </w:rPr>
        <w:t xml:space="preserve">в образовании </w:t>
      </w:r>
      <w:r w:rsidR="0097381B" w:rsidRPr="004D4277">
        <w:rPr>
          <w:b/>
          <w:sz w:val="20"/>
          <w:szCs w:val="20"/>
        </w:rPr>
        <w:t>Республики Коми в 20</w:t>
      </w:r>
      <w:r w:rsidR="002965D5">
        <w:rPr>
          <w:b/>
          <w:sz w:val="20"/>
          <w:szCs w:val="20"/>
        </w:rPr>
        <w:t>2</w:t>
      </w:r>
      <w:r w:rsidR="00B857AF">
        <w:rPr>
          <w:b/>
          <w:sz w:val="20"/>
          <w:szCs w:val="20"/>
        </w:rPr>
        <w:t>5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000D5C" w:rsidRPr="00000D5C" w:rsidRDefault="004D4277" w:rsidP="00000D5C">
      <w:pPr>
        <w:ind w:firstLine="567"/>
        <w:jc w:val="both"/>
        <w:rPr>
          <w:sz w:val="20"/>
          <w:szCs w:val="20"/>
          <w:u w:val="single"/>
        </w:rPr>
      </w:pPr>
      <w:r w:rsidRPr="00000D5C">
        <w:rPr>
          <w:b/>
          <w:i/>
          <w:sz w:val="20"/>
          <w:szCs w:val="20"/>
        </w:rPr>
        <w:t xml:space="preserve">Объект </w:t>
      </w:r>
      <w:r w:rsidR="000E3D8A" w:rsidRPr="00000D5C">
        <w:rPr>
          <w:b/>
          <w:i/>
          <w:sz w:val="20"/>
          <w:szCs w:val="20"/>
        </w:rPr>
        <w:t>исследования:</w:t>
      </w:r>
      <w:r w:rsidR="0097381B" w:rsidRPr="00000D5C">
        <w:rPr>
          <w:b/>
          <w:i/>
          <w:sz w:val="20"/>
          <w:szCs w:val="20"/>
        </w:rPr>
        <w:t xml:space="preserve"> </w:t>
      </w:r>
      <w:r w:rsidR="00000D5C" w:rsidRPr="00000D5C">
        <w:rPr>
          <w:sz w:val="20"/>
          <w:szCs w:val="20"/>
          <w:u w:val="single"/>
        </w:rPr>
        <w:t>Муниципальное автономное учреждение дополнительного образования «Центр детского творчества» (МО «Сыктывкар»)</w:t>
      </w:r>
    </w:p>
    <w:p w:rsidR="00172BBA" w:rsidRPr="00000D5C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000D5C" w:rsidRDefault="004D4277" w:rsidP="004D4277">
      <w:pPr>
        <w:ind w:firstLine="567"/>
        <w:jc w:val="both"/>
        <w:rPr>
          <w:sz w:val="20"/>
          <w:szCs w:val="20"/>
        </w:rPr>
      </w:pPr>
      <w:r w:rsidRPr="00000D5C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000D5C" w:rsidRDefault="004D4277" w:rsidP="004D4277">
      <w:pPr>
        <w:ind w:firstLine="567"/>
        <w:jc w:val="both"/>
        <w:rPr>
          <w:sz w:val="20"/>
          <w:szCs w:val="20"/>
        </w:rPr>
      </w:pPr>
      <w:r w:rsidRPr="00000D5C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000D5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000D5C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000D5C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000D5C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000D5C">
        <w:rPr>
          <w:b/>
          <w:i/>
          <w:sz w:val="20"/>
          <w:szCs w:val="20"/>
        </w:rPr>
        <w:t xml:space="preserve">Выборка </w:t>
      </w:r>
    </w:p>
    <w:p w:rsidR="004D4277" w:rsidRPr="00000D5C" w:rsidRDefault="004D4277" w:rsidP="004D4277">
      <w:pPr>
        <w:ind w:firstLine="567"/>
        <w:jc w:val="both"/>
        <w:rPr>
          <w:sz w:val="20"/>
          <w:szCs w:val="20"/>
        </w:rPr>
      </w:pPr>
      <w:r w:rsidRPr="00000D5C">
        <w:rPr>
          <w:sz w:val="20"/>
          <w:szCs w:val="20"/>
        </w:rPr>
        <w:t xml:space="preserve">Общереспубликанский показатель охвата респондентов </w:t>
      </w:r>
      <w:r w:rsidR="00827A5E" w:rsidRPr="00000D5C">
        <w:rPr>
          <w:sz w:val="20"/>
          <w:szCs w:val="20"/>
        </w:rPr>
        <w:t xml:space="preserve">по организациям дополнительного образования детей </w:t>
      </w:r>
      <w:r w:rsidR="00990F9B" w:rsidRPr="00000D5C">
        <w:rPr>
          <w:sz w:val="20"/>
          <w:szCs w:val="20"/>
        </w:rPr>
        <w:t>в образовании</w:t>
      </w:r>
      <w:r w:rsidR="00990F9B" w:rsidRPr="00000D5C">
        <w:rPr>
          <w:b/>
          <w:sz w:val="20"/>
          <w:szCs w:val="20"/>
        </w:rPr>
        <w:t xml:space="preserve"> </w:t>
      </w:r>
      <w:r w:rsidRPr="00000D5C">
        <w:rPr>
          <w:sz w:val="20"/>
          <w:szCs w:val="20"/>
        </w:rPr>
        <w:t xml:space="preserve">Республики Коми </w:t>
      </w:r>
      <w:r w:rsidR="00FB7E2B" w:rsidRPr="00000D5C">
        <w:rPr>
          <w:sz w:val="20"/>
          <w:szCs w:val="20"/>
        </w:rPr>
        <w:t xml:space="preserve">(далее – ОДОД в образовании) </w:t>
      </w:r>
      <w:r w:rsidRPr="00000D5C">
        <w:rPr>
          <w:sz w:val="20"/>
          <w:szCs w:val="20"/>
        </w:rPr>
        <w:t xml:space="preserve">составил </w:t>
      </w:r>
      <w:r w:rsidR="00C63C88" w:rsidRPr="00000D5C">
        <w:rPr>
          <w:sz w:val="20"/>
          <w:szCs w:val="20"/>
        </w:rPr>
        <w:t>51,20</w:t>
      </w:r>
      <w:r w:rsidRPr="00000D5C">
        <w:rPr>
          <w:sz w:val="20"/>
          <w:szCs w:val="20"/>
        </w:rPr>
        <w:t>%.</w:t>
      </w:r>
    </w:p>
    <w:p w:rsidR="004D4277" w:rsidRPr="00000D5C" w:rsidRDefault="004D4277" w:rsidP="0025525E">
      <w:pPr>
        <w:ind w:firstLine="567"/>
        <w:jc w:val="both"/>
        <w:rPr>
          <w:sz w:val="20"/>
          <w:szCs w:val="20"/>
          <w:u w:val="single"/>
        </w:rPr>
      </w:pPr>
      <w:r w:rsidRPr="00000D5C">
        <w:rPr>
          <w:sz w:val="20"/>
          <w:szCs w:val="20"/>
        </w:rPr>
        <w:t xml:space="preserve">Выборка опрошенных по </w:t>
      </w:r>
      <w:r w:rsidR="00000D5C" w:rsidRPr="00000D5C">
        <w:rPr>
          <w:sz w:val="20"/>
          <w:szCs w:val="20"/>
          <w:u w:val="single"/>
        </w:rPr>
        <w:t>Муниципальному автономному учреждению дополнительного образования «Центр детского творчества» (МО «Сыктывкар»)</w:t>
      </w:r>
      <w:r w:rsidR="00373B18" w:rsidRPr="00000D5C">
        <w:rPr>
          <w:sz w:val="20"/>
          <w:szCs w:val="20"/>
        </w:rPr>
        <w:t xml:space="preserve"> </w:t>
      </w:r>
      <w:r w:rsidR="00CF59A2" w:rsidRPr="00000D5C">
        <w:rPr>
          <w:sz w:val="20"/>
          <w:szCs w:val="20"/>
        </w:rPr>
        <w:t xml:space="preserve">составила </w:t>
      </w:r>
      <w:r w:rsidR="00000D5C" w:rsidRPr="00000D5C">
        <w:rPr>
          <w:sz w:val="20"/>
          <w:szCs w:val="20"/>
        </w:rPr>
        <w:t>1318</w:t>
      </w:r>
      <w:r w:rsidR="00CF59A2" w:rsidRPr="00000D5C">
        <w:rPr>
          <w:sz w:val="20"/>
          <w:szCs w:val="20"/>
        </w:rPr>
        <w:t xml:space="preserve"> респондентов (</w:t>
      </w:r>
      <w:r w:rsidR="00000D5C" w:rsidRPr="00000D5C">
        <w:rPr>
          <w:sz w:val="20"/>
          <w:szCs w:val="20"/>
        </w:rPr>
        <w:t>52,64</w:t>
      </w:r>
      <w:r w:rsidR="00CF59A2" w:rsidRPr="00000D5C">
        <w:rPr>
          <w:sz w:val="20"/>
          <w:szCs w:val="20"/>
        </w:rPr>
        <w:t xml:space="preserve">% от общего количества потребителей услуг). Данный факт показывает </w:t>
      </w:r>
      <w:r w:rsidR="0025525E" w:rsidRPr="00000D5C">
        <w:rPr>
          <w:sz w:val="20"/>
          <w:szCs w:val="20"/>
        </w:rPr>
        <w:t xml:space="preserve">среднюю </w:t>
      </w:r>
      <w:r w:rsidR="00CF59A2" w:rsidRPr="00000D5C">
        <w:rPr>
          <w:sz w:val="20"/>
          <w:szCs w:val="20"/>
        </w:rPr>
        <w:t>активность респондентов</w:t>
      </w:r>
      <w:r w:rsidR="0025525E" w:rsidRPr="00000D5C">
        <w:rPr>
          <w:sz w:val="20"/>
          <w:szCs w:val="20"/>
        </w:rPr>
        <w:t>.</w:t>
      </w:r>
      <w:r w:rsidR="00CF59A2" w:rsidRPr="00000D5C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E02A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Показатели, </w:t>
            </w:r>
          </w:p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02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7E53E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E02A7E">
              <w:rPr>
                <w:sz w:val="18"/>
                <w:szCs w:val="18"/>
              </w:rPr>
              <w:t>Д</w:t>
            </w:r>
            <w:r w:rsidRPr="00E02A7E">
              <w:rPr>
                <w:sz w:val="18"/>
                <w:szCs w:val="18"/>
              </w:rPr>
              <w:t>О</w:t>
            </w:r>
            <w:r w:rsidR="00540FD3" w:rsidRPr="00E02A7E">
              <w:rPr>
                <w:sz w:val="18"/>
                <w:szCs w:val="18"/>
              </w:rPr>
              <w:t>Д</w:t>
            </w:r>
            <w:r w:rsidR="007E53E4">
              <w:rPr>
                <w:sz w:val="18"/>
                <w:szCs w:val="18"/>
              </w:rPr>
              <w:t xml:space="preserve"> </w:t>
            </w:r>
          </w:p>
          <w:p w:rsidR="00B37328" w:rsidRPr="00135035" w:rsidRDefault="007E53E4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35035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1086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по РК</w:t>
            </w:r>
          </w:p>
        </w:tc>
      </w:tr>
      <w:tr w:rsidR="00B37328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00D5C" w:rsidRPr="00E02A7E" w:rsidTr="00A51132">
        <w:trPr>
          <w:trHeight w:val="1132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rPr>
          <w:trHeight w:val="356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rPr>
          <w:trHeight w:val="839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00D5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E02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00D5C" w:rsidRPr="00E02A7E" w:rsidTr="00A51132">
        <w:trPr>
          <w:trHeight w:val="1694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E02A7E" w:rsidTr="00540FD3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00D5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99,61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E02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00D5C" w:rsidRPr="00E02A7E" w:rsidTr="00A51132">
        <w:trPr>
          <w:trHeight w:val="2067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00D5C" w:rsidRPr="00E02A7E" w:rsidTr="00A51132">
        <w:trPr>
          <w:trHeight w:val="538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00D5C" w:rsidRPr="00E02A7E" w:rsidTr="00A51132">
        <w:trPr>
          <w:trHeight w:val="3952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00D5C" w:rsidRPr="00E02A7E" w:rsidTr="00E02A7E">
        <w:trPr>
          <w:trHeight w:val="255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000D5C" w:rsidRPr="00E02A7E" w:rsidTr="00E02A7E">
        <w:trPr>
          <w:trHeight w:val="404"/>
        </w:trPr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E02A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00D5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69,10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00D5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E02A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00D5C" w:rsidRPr="00E02A7E" w:rsidTr="00A51132">
        <w:tc>
          <w:tcPr>
            <w:tcW w:w="422" w:type="dxa"/>
            <w:vAlign w:val="center"/>
          </w:tcPr>
          <w:p w:rsidR="00000D5C" w:rsidRPr="00E02A7E" w:rsidRDefault="00000D5C" w:rsidP="00000D5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000D5C" w:rsidRPr="00E02A7E" w:rsidRDefault="00000D5C" w:rsidP="00000D5C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00D5C" w:rsidRPr="00E02A7E" w:rsidRDefault="00000D5C" w:rsidP="00000D5C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00D5C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00D5C" w:rsidRPr="00E02A7E" w:rsidRDefault="00000D5C" w:rsidP="00000D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000D5C" w:rsidRDefault="00000D5C">
            <w:pPr>
              <w:jc w:val="center"/>
              <w:rPr>
                <w:b/>
                <w:bCs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99,40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000D5C" w:rsidRDefault="00000D5C">
            <w:pPr>
              <w:jc w:val="center"/>
              <w:rPr>
                <w:b/>
                <w:bCs/>
                <w:sz w:val="18"/>
                <w:szCs w:val="18"/>
              </w:rPr>
            </w:pPr>
            <w:r w:rsidRPr="00000D5C">
              <w:rPr>
                <w:b/>
                <w:bCs/>
                <w:sz w:val="18"/>
                <w:szCs w:val="18"/>
              </w:rPr>
              <w:t>93,60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93,01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7C6743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</w:t>
      </w:r>
      <w:r w:rsidR="007C6743">
        <w:rPr>
          <w:b/>
          <w:sz w:val="20"/>
          <w:szCs w:val="20"/>
        </w:rPr>
        <w:t>ии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>Организации дополнительного образования детей</w:t>
      </w:r>
      <w:r w:rsidR="00990F9B">
        <w:rPr>
          <w:b/>
          <w:sz w:val="20"/>
          <w:szCs w:val="20"/>
        </w:rPr>
        <w:t xml:space="preserve"> в образовании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000D5C" w:rsidRDefault="00A834F8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000D5C">
        <w:rPr>
          <w:sz w:val="20"/>
          <w:szCs w:val="20"/>
        </w:rPr>
        <w:t>В рамках независимой оценки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 высокое. Максимально респонденты оценили «Открытость и доступность информации об организации»</w:t>
      </w:r>
      <w:r w:rsidR="00000D5C" w:rsidRPr="00000D5C">
        <w:rPr>
          <w:sz w:val="20"/>
          <w:szCs w:val="20"/>
        </w:rPr>
        <w:t xml:space="preserve"> (100,00 баллов</w:t>
      </w:r>
      <w:r w:rsidR="004E4087" w:rsidRPr="00000D5C">
        <w:rPr>
          <w:sz w:val="20"/>
          <w:szCs w:val="20"/>
        </w:rPr>
        <w:t xml:space="preserve">), </w:t>
      </w:r>
      <w:r w:rsidR="004E4087">
        <w:rPr>
          <w:sz w:val="20"/>
          <w:szCs w:val="20"/>
        </w:rPr>
        <w:t>«</w:t>
      </w:r>
      <w:r w:rsidRPr="00000D5C">
        <w:rPr>
          <w:sz w:val="20"/>
          <w:szCs w:val="20"/>
        </w:rPr>
        <w:t>Доброжелательность, вежливость работников организации» (100,00 баллов).</w:t>
      </w:r>
    </w:p>
    <w:p w:rsidR="00000D5C" w:rsidRPr="00EA5055" w:rsidRDefault="00000D5C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312F0D" w:rsidRDefault="00CC58B3" w:rsidP="004E408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000D5C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000D5C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000D5C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ОДОД</w:t>
      </w:r>
      <w:r w:rsidR="007E53E4">
        <w:rPr>
          <w:noProof/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>
        <w:rPr>
          <w:sz w:val="20"/>
          <w:szCs w:val="20"/>
        </w:rPr>
        <w:t>:</w:t>
      </w:r>
    </w:p>
    <w:p w:rsidR="004E4087" w:rsidRPr="004E4087" w:rsidRDefault="004E4087" w:rsidP="004E408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7F1B30" w:rsidRPr="007F1B30" w:rsidRDefault="007F1B30" w:rsidP="007F1B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F1B30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7F1B30">
        <w:rPr>
          <w:rFonts w:ascii="Times New Roman" w:hAnsi="Times New Roman"/>
          <w:i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p w:rsidR="007F1B30" w:rsidRPr="007F1B30" w:rsidRDefault="007F1B30" w:rsidP="007F1B3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7F1B30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7F1B30" w:rsidRPr="007F1B30" w:rsidRDefault="007F1B30" w:rsidP="007F1B3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7F1B30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7F1B30" w:rsidRPr="007F1B30" w:rsidRDefault="007F1B30" w:rsidP="007F1B3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7F1B30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7F1B30" w:rsidRPr="007F1B30" w:rsidRDefault="007F1B30" w:rsidP="007F1B30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7F1B30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A2198E" w:rsidRDefault="007F1B30" w:rsidP="004E4087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</w:t>
      </w:r>
      <w:r w:rsidR="004E4087">
        <w:rPr>
          <w:rFonts w:ascii="Times New Roman" w:hAnsi="Times New Roman"/>
          <w:sz w:val="20"/>
          <w:szCs w:val="20"/>
          <w:lang w:eastAsia="ru-RU"/>
        </w:rPr>
        <w:t>водчика (тифлосурдопереводчика).</w:t>
      </w:r>
    </w:p>
    <w:p w:rsidR="004E4087" w:rsidRPr="004E4087" w:rsidRDefault="004E4087" w:rsidP="004E4087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A2198E" w:rsidRPr="007F1B30" w:rsidRDefault="00FD7E3F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F1B30">
        <w:rPr>
          <w:rFonts w:ascii="Times New Roman" w:hAnsi="Times New Roman"/>
          <w:b/>
          <w:sz w:val="20"/>
          <w:szCs w:val="20"/>
        </w:rPr>
        <w:t xml:space="preserve"> </w:t>
      </w:r>
      <w:r w:rsidR="00BA40D6" w:rsidRPr="007F1B30">
        <w:rPr>
          <w:rFonts w:ascii="Times New Roman" w:hAnsi="Times New Roman"/>
          <w:b/>
          <w:sz w:val="20"/>
          <w:szCs w:val="20"/>
        </w:rPr>
        <w:t xml:space="preserve">     </w:t>
      </w:r>
      <w:r w:rsidRPr="007F1B30">
        <w:rPr>
          <w:rFonts w:ascii="Times New Roman" w:hAnsi="Times New Roman"/>
          <w:b/>
          <w:sz w:val="20"/>
          <w:szCs w:val="20"/>
        </w:rPr>
        <w:t xml:space="preserve"> Критерий 2 «Комфортность условий, в которых осуществляется образовательная деятельность»</w:t>
      </w:r>
    </w:p>
    <w:p w:rsidR="00BA40D6" w:rsidRPr="007F1B30" w:rsidRDefault="00BA40D6" w:rsidP="00BA40D6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7F1B30">
        <w:rPr>
          <w:rFonts w:ascii="Times New Roman" w:hAnsi="Times New Roman"/>
          <w:i/>
          <w:sz w:val="20"/>
          <w:szCs w:val="20"/>
        </w:rPr>
        <w:t>По организации комфортных условий для предоставления услуг, в частности:</w:t>
      </w:r>
    </w:p>
    <w:p w:rsidR="00EB0760" w:rsidRPr="007F1B30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7F1B30">
        <w:rPr>
          <w:rStyle w:val="fontstyle01"/>
          <w:color w:val="auto"/>
          <w:sz w:val="20"/>
          <w:szCs w:val="20"/>
        </w:rPr>
        <w:t>;</w:t>
      </w:r>
    </w:p>
    <w:p w:rsidR="00EB0760" w:rsidRPr="007F1B30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2. Навигация внутри организации</w:t>
      </w:r>
      <w:r w:rsidR="007F1B30" w:rsidRPr="007F1B30">
        <w:rPr>
          <w:rStyle w:val="fontstyle01"/>
          <w:color w:val="auto"/>
          <w:sz w:val="20"/>
          <w:szCs w:val="20"/>
        </w:rPr>
        <w:t>.</w:t>
      </w:r>
      <w:r w:rsidRPr="007F1B30">
        <w:rPr>
          <w:sz w:val="20"/>
          <w:szCs w:val="20"/>
        </w:rPr>
        <w:t xml:space="preserve"> </w:t>
      </w:r>
    </w:p>
    <w:p w:rsidR="00EA2B98" w:rsidRPr="007F1B30" w:rsidRDefault="00EA2B98" w:rsidP="00E168B1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7F1B30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7F1B30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7F1B30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7F1B30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7F1B30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E168B1" w:rsidRPr="007F1B30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7F1B30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7F1B30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sz w:val="21"/>
          <w:szCs w:val="21"/>
          <w:shd w:val="clear" w:color="auto" w:fill="FFFFFF"/>
        </w:rPr>
      </w:pPr>
    </w:p>
    <w:p w:rsidR="00EA2B98" w:rsidRPr="007F1B30" w:rsidRDefault="00E168B1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  <w:shd w:val="clear" w:color="auto" w:fill="FFFFFF"/>
        </w:rPr>
        <w:t>Для устранения</w:t>
      </w:r>
      <w:r w:rsidR="00EA2B98" w:rsidRPr="007F1B30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7F1B30">
        <w:rPr>
          <w:sz w:val="20"/>
          <w:szCs w:val="20"/>
        </w:rPr>
        <w:t xml:space="preserve">независимой </w:t>
      </w:r>
      <w:r w:rsidRPr="007F1B30">
        <w:rPr>
          <w:sz w:val="20"/>
          <w:szCs w:val="20"/>
        </w:rPr>
        <w:t>оценки качества</w:t>
      </w:r>
      <w:r w:rsidR="00EA2B98" w:rsidRPr="007F1B30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7F1B30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7F1B30" w:rsidRPr="007F1B30" w:rsidRDefault="007F1B30" w:rsidP="007F1B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F1B30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7F1B30" w:rsidRPr="007F1B30" w:rsidRDefault="007F1B30" w:rsidP="007F1B30">
      <w:pPr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7F1B30" w:rsidRPr="007F1B30" w:rsidRDefault="007F1B30" w:rsidP="007F1B30">
      <w:pPr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7F1B30" w:rsidRPr="007F1B30" w:rsidRDefault="007F1B30" w:rsidP="007F1B3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7F1B30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7F1B30">
        <w:t>;</w:t>
      </w:r>
      <w:r w:rsidRPr="007F1B30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7F1B30" w:rsidRPr="007F1B30" w:rsidRDefault="007F1B30" w:rsidP="007F1B30">
      <w:pPr>
        <w:widowControl w:val="0"/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7F1B30" w:rsidRPr="007F1B30" w:rsidRDefault="007F1B30" w:rsidP="007F1B30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7F1B30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7F1B30">
        <w:t>;</w:t>
      </w:r>
    </w:p>
    <w:p w:rsidR="007F1B30" w:rsidRPr="007F1B30" w:rsidRDefault="007F1B30" w:rsidP="007F1B30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 xml:space="preserve"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 </w:t>
      </w:r>
    </w:p>
    <w:p w:rsidR="007F1B30" w:rsidRPr="007F1B30" w:rsidRDefault="007F1B30" w:rsidP="007F1B30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F1B30" w:rsidRPr="007F1B30" w:rsidRDefault="007F1B30" w:rsidP="007F1B30">
      <w:pPr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с иными категориями получателей услуг, в частности:</w:t>
      </w:r>
    </w:p>
    <w:p w:rsidR="007F1B30" w:rsidRPr="007F1B30" w:rsidRDefault="007F1B30" w:rsidP="007F1B30">
      <w:pPr>
        <w:widowControl w:val="0"/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7F1B30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7F1B30" w:rsidRPr="007F1B30" w:rsidRDefault="007F1B30" w:rsidP="007F1B30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7F1B30">
        <w:rPr>
          <w:rFonts w:ascii="Times New Roman" w:hAnsi="Times New Roman"/>
          <w:sz w:val="20"/>
          <w:szCs w:val="20"/>
        </w:rPr>
        <w:t>.</w:t>
      </w:r>
    </w:p>
    <w:p w:rsidR="007F1B30" w:rsidRPr="007F1B30" w:rsidRDefault="007F1B30" w:rsidP="004F56B7">
      <w:pPr>
        <w:widowControl w:val="0"/>
        <w:rPr>
          <w:b/>
          <w:sz w:val="20"/>
          <w:szCs w:val="20"/>
        </w:rPr>
      </w:pPr>
    </w:p>
    <w:p w:rsidR="00E168B1" w:rsidRPr="007F1B30" w:rsidRDefault="00EA2B98" w:rsidP="00FD0860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7F1B30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A2B98" w:rsidRPr="007F1B30" w:rsidRDefault="00EA2B98" w:rsidP="00E168B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F1B30">
        <w:rPr>
          <w:rFonts w:ascii="Times New Roman" w:hAnsi="Times New Roman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CC58B3" w:rsidRPr="007F1B30">
        <w:rPr>
          <w:rFonts w:ascii="Times New Roman" w:hAnsi="Times New Roman"/>
          <w:sz w:val="20"/>
          <w:szCs w:val="20"/>
        </w:rPr>
        <w:t xml:space="preserve">                       </w:t>
      </w:r>
      <w:r w:rsidRPr="007F1B30">
        <w:rPr>
          <w:rFonts w:ascii="Times New Roman" w:hAnsi="Times New Roman"/>
          <w:sz w:val="20"/>
          <w:szCs w:val="20"/>
        </w:rPr>
        <w:t xml:space="preserve">в частности: </w:t>
      </w:r>
    </w:p>
    <w:p w:rsidR="001708F6" w:rsidRPr="007F1B30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1. Мест</w:t>
      </w:r>
      <w:r w:rsidR="000146D3" w:rsidRPr="007F1B30">
        <w:rPr>
          <w:sz w:val="20"/>
          <w:szCs w:val="20"/>
        </w:rPr>
        <w:t>а</w:t>
      </w:r>
      <w:r w:rsidRPr="007F1B30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1708F6" w:rsidRPr="007F1B30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F1B30">
        <w:rPr>
          <w:sz w:val="20"/>
          <w:szCs w:val="20"/>
        </w:rPr>
        <w:t>2. 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7F1B30" w:rsidRPr="007F1B30">
        <w:rPr>
          <w:sz w:val="20"/>
          <w:szCs w:val="20"/>
        </w:rPr>
        <w:t>.</w:t>
      </w:r>
    </w:p>
    <w:p w:rsidR="00545C2D" w:rsidRPr="007F1B30" w:rsidRDefault="00545C2D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FD0860" w:rsidRPr="00321E41" w:rsidRDefault="00FD0860" w:rsidP="00321E41">
      <w:pPr>
        <w:widowControl w:val="0"/>
        <w:tabs>
          <w:tab w:val="left" w:pos="4824"/>
        </w:tabs>
        <w:ind w:firstLine="567"/>
        <w:jc w:val="both"/>
        <w:rPr>
          <w:color w:val="FF0000"/>
          <w:sz w:val="20"/>
          <w:szCs w:val="20"/>
        </w:rPr>
      </w:pPr>
      <w:bookmarkStart w:id="0" w:name="_GoBack"/>
      <w:bookmarkEnd w:id="0"/>
    </w:p>
    <w:sectPr w:rsidR="00FD0860" w:rsidRPr="00321E4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C6" w:rsidRDefault="002771C6" w:rsidP="00A7093F">
      <w:r>
        <w:separator/>
      </w:r>
    </w:p>
  </w:endnote>
  <w:endnote w:type="continuationSeparator" w:id="0">
    <w:p w:rsidR="002771C6" w:rsidRDefault="002771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C6" w:rsidRDefault="002771C6" w:rsidP="00A7093F">
      <w:r>
        <w:separator/>
      </w:r>
    </w:p>
  </w:footnote>
  <w:footnote w:type="continuationSeparator" w:id="0">
    <w:p w:rsidR="002771C6" w:rsidRDefault="002771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00D5C"/>
    <w:rsid w:val="000146D3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115B"/>
    <w:rsid w:val="000B291E"/>
    <w:rsid w:val="000B57D6"/>
    <w:rsid w:val="000C1577"/>
    <w:rsid w:val="000C2AA3"/>
    <w:rsid w:val="000C36FC"/>
    <w:rsid w:val="000D7422"/>
    <w:rsid w:val="000E3D8A"/>
    <w:rsid w:val="000E4075"/>
    <w:rsid w:val="000E77E7"/>
    <w:rsid w:val="0010121A"/>
    <w:rsid w:val="00101C37"/>
    <w:rsid w:val="00104CE2"/>
    <w:rsid w:val="00106986"/>
    <w:rsid w:val="001118E3"/>
    <w:rsid w:val="00120A1E"/>
    <w:rsid w:val="00122E8E"/>
    <w:rsid w:val="00123040"/>
    <w:rsid w:val="00134405"/>
    <w:rsid w:val="00135035"/>
    <w:rsid w:val="001371A6"/>
    <w:rsid w:val="00142224"/>
    <w:rsid w:val="001618F2"/>
    <w:rsid w:val="00165B00"/>
    <w:rsid w:val="001708F6"/>
    <w:rsid w:val="0017206E"/>
    <w:rsid w:val="00172BBA"/>
    <w:rsid w:val="00173A9C"/>
    <w:rsid w:val="001816C7"/>
    <w:rsid w:val="00186C0B"/>
    <w:rsid w:val="001879F9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022B"/>
    <w:rsid w:val="001F1926"/>
    <w:rsid w:val="00203937"/>
    <w:rsid w:val="00222D6C"/>
    <w:rsid w:val="00224FBE"/>
    <w:rsid w:val="002355C8"/>
    <w:rsid w:val="00236B58"/>
    <w:rsid w:val="0025525E"/>
    <w:rsid w:val="00263F7D"/>
    <w:rsid w:val="0027002D"/>
    <w:rsid w:val="002771C6"/>
    <w:rsid w:val="00283BD1"/>
    <w:rsid w:val="00284F99"/>
    <w:rsid w:val="0029547F"/>
    <w:rsid w:val="002965D5"/>
    <w:rsid w:val="00296707"/>
    <w:rsid w:val="002A3982"/>
    <w:rsid w:val="002A3AD7"/>
    <w:rsid w:val="002A621A"/>
    <w:rsid w:val="002A622E"/>
    <w:rsid w:val="002B6B88"/>
    <w:rsid w:val="002C1893"/>
    <w:rsid w:val="002C657D"/>
    <w:rsid w:val="002D0E76"/>
    <w:rsid w:val="002D1EFD"/>
    <w:rsid w:val="002E0F85"/>
    <w:rsid w:val="002F4039"/>
    <w:rsid w:val="003006E2"/>
    <w:rsid w:val="00300C4D"/>
    <w:rsid w:val="00303505"/>
    <w:rsid w:val="00304594"/>
    <w:rsid w:val="00306FC5"/>
    <w:rsid w:val="00312F0D"/>
    <w:rsid w:val="003134C6"/>
    <w:rsid w:val="00320540"/>
    <w:rsid w:val="00321C3B"/>
    <w:rsid w:val="00321E41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B53E9"/>
    <w:rsid w:val="003D07CE"/>
    <w:rsid w:val="003D0CEF"/>
    <w:rsid w:val="003D399C"/>
    <w:rsid w:val="003D50D2"/>
    <w:rsid w:val="003E066D"/>
    <w:rsid w:val="003E36B3"/>
    <w:rsid w:val="003E74BF"/>
    <w:rsid w:val="003E79AC"/>
    <w:rsid w:val="003F2B2A"/>
    <w:rsid w:val="003F657A"/>
    <w:rsid w:val="003F7264"/>
    <w:rsid w:val="00404A8F"/>
    <w:rsid w:val="00412C75"/>
    <w:rsid w:val="004136C1"/>
    <w:rsid w:val="004213ED"/>
    <w:rsid w:val="00421DEC"/>
    <w:rsid w:val="0043737A"/>
    <w:rsid w:val="00447050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229A"/>
    <w:rsid w:val="004E408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43B8D"/>
    <w:rsid w:val="00545C2D"/>
    <w:rsid w:val="00554A6C"/>
    <w:rsid w:val="00560D30"/>
    <w:rsid w:val="00564484"/>
    <w:rsid w:val="00570752"/>
    <w:rsid w:val="00576936"/>
    <w:rsid w:val="0058037F"/>
    <w:rsid w:val="005840A5"/>
    <w:rsid w:val="005A2C40"/>
    <w:rsid w:val="005C526F"/>
    <w:rsid w:val="005E1783"/>
    <w:rsid w:val="005E5C26"/>
    <w:rsid w:val="005F7315"/>
    <w:rsid w:val="0060170F"/>
    <w:rsid w:val="0060189E"/>
    <w:rsid w:val="006040F7"/>
    <w:rsid w:val="00613655"/>
    <w:rsid w:val="00613F26"/>
    <w:rsid w:val="00620612"/>
    <w:rsid w:val="006245BD"/>
    <w:rsid w:val="00627F37"/>
    <w:rsid w:val="006321BC"/>
    <w:rsid w:val="006343D4"/>
    <w:rsid w:val="00647257"/>
    <w:rsid w:val="0065312C"/>
    <w:rsid w:val="00663B18"/>
    <w:rsid w:val="006710BF"/>
    <w:rsid w:val="00680D43"/>
    <w:rsid w:val="00683048"/>
    <w:rsid w:val="00685319"/>
    <w:rsid w:val="00691077"/>
    <w:rsid w:val="00692ECD"/>
    <w:rsid w:val="006A2646"/>
    <w:rsid w:val="006A48EE"/>
    <w:rsid w:val="006B0D35"/>
    <w:rsid w:val="006C17E3"/>
    <w:rsid w:val="006C28F5"/>
    <w:rsid w:val="006C722C"/>
    <w:rsid w:val="006D24AB"/>
    <w:rsid w:val="006D549E"/>
    <w:rsid w:val="006E4FC7"/>
    <w:rsid w:val="006E60D6"/>
    <w:rsid w:val="006E79B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15B0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6743"/>
    <w:rsid w:val="007C7693"/>
    <w:rsid w:val="007D1BC4"/>
    <w:rsid w:val="007E53E4"/>
    <w:rsid w:val="007F1B30"/>
    <w:rsid w:val="007F1FE2"/>
    <w:rsid w:val="00806179"/>
    <w:rsid w:val="0081650E"/>
    <w:rsid w:val="008240F4"/>
    <w:rsid w:val="00827A5E"/>
    <w:rsid w:val="0083566B"/>
    <w:rsid w:val="00836BA9"/>
    <w:rsid w:val="00851300"/>
    <w:rsid w:val="008559B2"/>
    <w:rsid w:val="00856494"/>
    <w:rsid w:val="008568BE"/>
    <w:rsid w:val="00863554"/>
    <w:rsid w:val="0088798F"/>
    <w:rsid w:val="008953C5"/>
    <w:rsid w:val="008A3116"/>
    <w:rsid w:val="008A5C75"/>
    <w:rsid w:val="008A6347"/>
    <w:rsid w:val="008B2161"/>
    <w:rsid w:val="008D2327"/>
    <w:rsid w:val="008D5643"/>
    <w:rsid w:val="008F400F"/>
    <w:rsid w:val="00904914"/>
    <w:rsid w:val="00905C30"/>
    <w:rsid w:val="009171E3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0F9B"/>
    <w:rsid w:val="00992411"/>
    <w:rsid w:val="009A55EB"/>
    <w:rsid w:val="009A6A7A"/>
    <w:rsid w:val="009B3A84"/>
    <w:rsid w:val="009B5B3D"/>
    <w:rsid w:val="009C21DC"/>
    <w:rsid w:val="009D09D3"/>
    <w:rsid w:val="009E1AE8"/>
    <w:rsid w:val="009E6CED"/>
    <w:rsid w:val="00A0686F"/>
    <w:rsid w:val="00A12C70"/>
    <w:rsid w:val="00A14F36"/>
    <w:rsid w:val="00A16D43"/>
    <w:rsid w:val="00A2198E"/>
    <w:rsid w:val="00A2756D"/>
    <w:rsid w:val="00A27A55"/>
    <w:rsid w:val="00A334A5"/>
    <w:rsid w:val="00A34881"/>
    <w:rsid w:val="00A51132"/>
    <w:rsid w:val="00A52E62"/>
    <w:rsid w:val="00A5403C"/>
    <w:rsid w:val="00A64BD7"/>
    <w:rsid w:val="00A66656"/>
    <w:rsid w:val="00A7093F"/>
    <w:rsid w:val="00A77F6F"/>
    <w:rsid w:val="00A80ECF"/>
    <w:rsid w:val="00A81A13"/>
    <w:rsid w:val="00A834F8"/>
    <w:rsid w:val="00A868B4"/>
    <w:rsid w:val="00A911EE"/>
    <w:rsid w:val="00A94E7B"/>
    <w:rsid w:val="00AC6CDA"/>
    <w:rsid w:val="00AD78AB"/>
    <w:rsid w:val="00AE7879"/>
    <w:rsid w:val="00B13DD9"/>
    <w:rsid w:val="00B22D3D"/>
    <w:rsid w:val="00B35487"/>
    <w:rsid w:val="00B37328"/>
    <w:rsid w:val="00B379B1"/>
    <w:rsid w:val="00B37B41"/>
    <w:rsid w:val="00B6156A"/>
    <w:rsid w:val="00B627E7"/>
    <w:rsid w:val="00B6591A"/>
    <w:rsid w:val="00B72273"/>
    <w:rsid w:val="00B74F35"/>
    <w:rsid w:val="00B757F8"/>
    <w:rsid w:val="00B76D39"/>
    <w:rsid w:val="00B857AF"/>
    <w:rsid w:val="00B86C4A"/>
    <w:rsid w:val="00B96D2C"/>
    <w:rsid w:val="00BA25B8"/>
    <w:rsid w:val="00BA40D6"/>
    <w:rsid w:val="00BB7FE6"/>
    <w:rsid w:val="00BC55D9"/>
    <w:rsid w:val="00BD07FD"/>
    <w:rsid w:val="00BD6433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3C88"/>
    <w:rsid w:val="00C6581C"/>
    <w:rsid w:val="00C65D6E"/>
    <w:rsid w:val="00C71014"/>
    <w:rsid w:val="00C71D1A"/>
    <w:rsid w:val="00C75A78"/>
    <w:rsid w:val="00C80B33"/>
    <w:rsid w:val="00C84E1B"/>
    <w:rsid w:val="00C85714"/>
    <w:rsid w:val="00C90EFE"/>
    <w:rsid w:val="00CA4F80"/>
    <w:rsid w:val="00CB274F"/>
    <w:rsid w:val="00CB5BC0"/>
    <w:rsid w:val="00CC0058"/>
    <w:rsid w:val="00CC58B3"/>
    <w:rsid w:val="00CD1A27"/>
    <w:rsid w:val="00CF59A2"/>
    <w:rsid w:val="00D074F4"/>
    <w:rsid w:val="00D14EFA"/>
    <w:rsid w:val="00D420AC"/>
    <w:rsid w:val="00D42959"/>
    <w:rsid w:val="00D43AAB"/>
    <w:rsid w:val="00D46534"/>
    <w:rsid w:val="00D746A2"/>
    <w:rsid w:val="00D977ED"/>
    <w:rsid w:val="00D97D23"/>
    <w:rsid w:val="00DA5F96"/>
    <w:rsid w:val="00DB0B22"/>
    <w:rsid w:val="00DB3677"/>
    <w:rsid w:val="00DC2E77"/>
    <w:rsid w:val="00DC3990"/>
    <w:rsid w:val="00DD10E3"/>
    <w:rsid w:val="00DD2870"/>
    <w:rsid w:val="00DE5E57"/>
    <w:rsid w:val="00DF7C09"/>
    <w:rsid w:val="00E0186E"/>
    <w:rsid w:val="00E02A7E"/>
    <w:rsid w:val="00E0320E"/>
    <w:rsid w:val="00E168B1"/>
    <w:rsid w:val="00E32E2D"/>
    <w:rsid w:val="00E34468"/>
    <w:rsid w:val="00E45E96"/>
    <w:rsid w:val="00E67451"/>
    <w:rsid w:val="00E72334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0760"/>
    <w:rsid w:val="00EB32E8"/>
    <w:rsid w:val="00EB3867"/>
    <w:rsid w:val="00EB3D82"/>
    <w:rsid w:val="00EE5951"/>
    <w:rsid w:val="00EF2EC1"/>
    <w:rsid w:val="00F40CC0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B7E2B"/>
    <w:rsid w:val="00FD0860"/>
    <w:rsid w:val="00FD4CE8"/>
    <w:rsid w:val="00FD7E3F"/>
    <w:rsid w:val="00FE3C93"/>
    <w:rsid w:val="00FE5B64"/>
    <w:rsid w:val="00FE664F"/>
    <w:rsid w:val="00FE6748"/>
    <w:rsid w:val="00FF24AC"/>
    <w:rsid w:val="00FF448C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30C8"/>
  <w15:docId w15:val="{A5FDF85E-825B-4532-89DA-D12BD44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1.3234077750206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100</c:v>
                </c:pt>
                <c:pt idx="1">
                  <c:v>99.5</c:v>
                </c:pt>
                <c:pt idx="2">
                  <c:v>69.099999999999994</c:v>
                </c:pt>
                <c:pt idx="3">
                  <c:v>100</c:v>
                </c:pt>
                <c:pt idx="4">
                  <c:v>99.4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 в образовании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381502075273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BA-4444-A91A-06B39170C67E}"/>
                </c:ext>
              </c:extLst>
            </c:dLbl>
            <c:dLbl>
              <c:idx val="1"/>
              <c:layout>
                <c:manualLayout>
                  <c:x val="1.3135798783445908E-4"/>
                  <c:y val="9.8192688693069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401168455838756E-4"/>
                  <c:y val="1.1098128862924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1748412964967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97.82</c:v>
                </c:pt>
                <c:pt idx="1">
                  <c:v>99.61</c:v>
                </c:pt>
                <c:pt idx="2">
                  <c:v>69.14</c:v>
                </c:pt>
                <c:pt idx="3">
                  <c:v>99.49</c:v>
                </c:pt>
                <c:pt idx="4">
                  <c:v>98.99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985088"/>
        <c:axId val="101007360"/>
      </c:barChart>
      <c:catAx>
        <c:axId val="1009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01007360"/>
        <c:crosses val="autoZero"/>
        <c:auto val="1"/>
        <c:lblAlgn val="ctr"/>
        <c:lblOffset val="100"/>
        <c:noMultiLvlLbl val="0"/>
      </c:catAx>
      <c:valAx>
        <c:axId val="101007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00985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338EE-7C45-4A9D-A0E6-D026C50E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168</cp:revision>
  <cp:lastPrinted>2019-12-02T11:19:00Z</cp:lastPrinted>
  <dcterms:created xsi:type="dcterms:W3CDTF">2019-10-24T12:51:00Z</dcterms:created>
  <dcterms:modified xsi:type="dcterms:W3CDTF">2025-11-01T09:10:00Z</dcterms:modified>
</cp:coreProperties>
</file>